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E3568" w14:textId="77777777" w:rsidR="00C03C44" w:rsidRDefault="008B479E" w:rsidP="00C03C44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b/>
          <w:bCs/>
          <w:color w:val="C00000"/>
          <w:sz w:val="32"/>
          <w:szCs w:val="32"/>
        </w:rPr>
      </w:pPr>
      <w:r w:rsidRPr="00C03C44">
        <w:rPr>
          <w:rFonts w:ascii="Gill Sans MT" w:hAnsi="Gill Sans MT"/>
          <w:b/>
          <w:bCs/>
          <w:color w:val="C00000"/>
          <w:sz w:val="32"/>
          <w:szCs w:val="32"/>
        </w:rPr>
        <w:t xml:space="preserve">Social Behavior Change/Community Engagement and </w:t>
      </w:r>
    </w:p>
    <w:p w14:paraId="6BD2EA9B" w14:textId="13F024BD" w:rsidR="008B479E" w:rsidRPr="00C03C44" w:rsidRDefault="008B479E" w:rsidP="00C03C44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b/>
          <w:bCs/>
          <w:color w:val="C00000"/>
          <w:sz w:val="32"/>
          <w:szCs w:val="32"/>
        </w:rPr>
      </w:pPr>
      <w:r w:rsidRPr="00C03C44">
        <w:rPr>
          <w:rFonts w:ascii="Gill Sans MT" w:hAnsi="Gill Sans MT"/>
          <w:b/>
          <w:bCs/>
          <w:color w:val="C00000"/>
          <w:sz w:val="32"/>
          <w:szCs w:val="32"/>
        </w:rPr>
        <w:t xml:space="preserve">Risk Communication </w:t>
      </w:r>
      <w:r w:rsidR="003A04C6" w:rsidRPr="00C03C44">
        <w:rPr>
          <w:rFonts w:ascii="Gill Sans MT" w:hAnsi="Gill Sans MT"/>
          <w:b/>
          <w:bCs/>
          <w:color w:val="C00000"/>
          <w:sz w:val="32"/>
          <w:szCs w:val="32"/>
        </w:rPr>
        <w:t>Operational Checklist</w:t>
      </w:r>
      <w:r w:rsidR="00415160" w:rsidRPr="00C03C44">
        <w:rPr>
          <w:rFonts w:ascii="Gill Sans MT" w:hAnsi="Gill Sans MT"/>
          <w:b/>
          <w:bCs/>
          <w:color w:val="C00000"/>
          <w:sz w:val="32"/>
          <w:szCs w:val="32"/>
        </w:rPr>
        <w:t xml:space="preserve"> </w:t>
      </w:r>
      <w:r w:rsidR="00F371CE" w:rsidRPr="00C03C44">
        <w:rPr>
          <w:rFonts w:ascii="Gill Sans MT" w:hAnsi="Gill Sans MT"/>
          <w:b/>
          <w:bCs/>
          <w:color w:val="C00000"/>
          <w:sz w:val="32"/>
          <w:szCs w:val="32"/>
        </w:rPr>
        <w:t>in Outbreaks</w:t>
      </w:r>
    </w:p>
    <w:p w14:paraId="393F0338" w14:textId="49B82A54" w:rsidR="00415160" w:rsidRPr="00C03C44" w:rsidRDefault="00415160" w:rsidP="005E0AAB">
      <w:pPr>
        <w:pStyle w:val="paragraph"/>
        <w:spacing w:before="0" w:beforeAutospacing="0" w:after="0" w:afterAutospacing="0"/>
        <w:textAlignment w:val="baseline"/>
        <w:rPr>
          <w:rFonts w:ascii="Gill Sans MT" w:eastAsiaTheme="majorEastAsia" w:hAnsi="Gill Sans MT"/>
          <w:b/>
          <w:caps/>
          <w:color w:val="C2113A"/>
        </w:rPr>
      </w:pPr>
    </w:p>
    <w:p w14:paraId="68316320" w14:textId="063DB631" w:rsidR="00415160" w:rsidRPr="00C03C44" w:rsidRDefault="00415160" w:rsidP="00415160">
      <w:pPr>
        <w:spacing w:after="0" w:line="240" w:lineRule="auto"/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Human Resources/Staffing/Budgeting</w:t>
      </w:r>
    </w:p>
    <w:p w14:paraId="50FBCBA9" w14:textId="77777777" w:rsidR="00415160" w:rsidRPr="00C03C44" w:rsidRDefault="00415160" w:rsidP="00415160">
      <w:p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223BBD3F" w14:textId="24274D83" w:rsidR="003A04C6" w:rsidRPr="00C03C44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Identify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a </w:t>
      </w:r>
      <w:r w:rsidR="003A04C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</w:t>
      </w:r>
      <w:r w:rsidR="00C5636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enior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-level</w:t>
      </w:r>
      <w:r w:rsidR="00C5636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expert</w:t>
      </w:r>
      <w:r w:rsidR="00C5636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</w:t>
      </w:r>
      <w:r w:rsidR="00AD3C9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social behavior change/</w:t>
      </w:r>
      <w:r w:rsidR="00E15E9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risk communication and community engagement</w:t>
      </w:r>
      <w:r w:rsidR="001921A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in outbreaks 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to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support</w:t>
      </w:r>
      <w:r w:rsidR="007150F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design and implementation of</w:t>
      </w:r>
      <w:r w:rsidR="003A04C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your </w:t>
      </w:r>
      <w:r w:rsidR="003A04C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health promotion and community engagement programming</w:t>
      </w:r>
      <w:r w:rsidR="009316E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</w:p>
    <w:p w14:paraId="137CDC97" w14:textId="5C52644D" w:rsidR="007C146A" w:rsidRPr="00C03C44" w:rsidRDefault="007C146A" w:rsidP="00BF726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hAnsi="Gill Sans MT"/>
          <w:noProof/>
          <w:color w:val="000000" w:themeColor="text1"/>
        </w:rPr>
        <w:drawing>
          <wp:inline distT="0" distB="0" distL="0" distR="0" wp14:anchorId="38B7A906" wp14:editId="78DC1AC0">
            <wp:extent cx="163830" cy="163830"/>
            <wp:effectExtent l="0" t="0" r="1270" b="1270"/>
            <wp:docPr id="4" name="Picture 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8274846" w14:textId="5D9F3261" w:rsidR="007C146A" w:rsidRPr="00C03C44" w:rsidRDefault="007C146A" w:rsidP="00BF726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hAnsi="Gill Sans MT"/>
          <w:noProof/>
          <w:color w:val="000000" w:themeColor="text1"/>
        </w:rPr>
        <w:drawing>
          <wp:inline distT="0" distB="0" distL="0" distR="0" wp14:anchorId="2EFB3435" wp14:editId="760EA3DA">
            <wp:extent cx="163830" cy="163830"/>
            <wp:effectExtent l="0" t="0" r="1270" b="1270"/>
            <wp:docPr id="5" name="Picture 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560C80D7" w14:textId="5F9F6E8D" w:rsidR="007C146A" w:rsidRPr="00C03C44" w:rsidRDefault="007C146A" w:rsidP="00BF726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hAnsi="Gill Sans MT"/>
          <w:noProof/>
          <w:color w:val="000000" w:themeColor="text1"/>
        </w:rPr>
        <w:drawing>
          <wp:inline distT="0" distB="0" distL="0" distR="0" wp14:anchorId="2AB0D0CB" wp14:editId="5C46B31E">
            <wp:extent cx="163830" cy="163830"/>
            <wp:effectExtent l="0" t="0" r="1270" b="1270"/>
            <wp:docPr id="6" name="Picture 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5EE7640" w14:textId="572E4E1C" w:rsidR="001921AB" w:rsidRPr="00C03C44" w:rsidRDefault="001921AB" w:rsidP="003A04C6">
      <w:p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5B248C6E" w14:textId="2A3A2A05" w:rsidR="007C146A" w:rsidRPr="00C03C44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Identify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p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artnerships with local NGOs 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that have </w:t>
      </w:r>
      <w:r w:rsidR="00151C9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staff/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social mobilizers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A3123" w:rsidRPr="00C03C44">
        <w:rPr>
          <w:rFonts w:ascii="Gill Sans MT" w:eastAsia="Times New Roman" w:hAnsi="Gill Sans MT" w:cs="Times New Roman"/>
          <w:bCs/>
          <w:i/>
          <w:color w:val="000000" w:themeColor="text1"/>
          <w:sz w:val="24"/>
          <w:szCs w:val="24"/>
          <w:u w:val="single"/>
        </w:rPr>
        <w:t>who speak a range of languages/dialects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08010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in the country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, 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which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can be leveraged for</w:t>
      </w:r>
      <w:r w:rsidR="00151C9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participatory community engagement and translating messaging and materials</w:t>
      </w:r>
      <w:r w:rsidR="00AA3123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7C146A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EE6A314" wp14:editId="110AE7B9">
            <wp:extent cx="163830" cy="163830"/>
            <wp:effectExtent l="0" t="0" r="1270" b="1270"/>
            <wp:docPr id="1" name="Picture 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242C2E48" w14:textId="5B27ADC3" w:rsidR="007C146A" w:rsidRPr="00C03C44" w:rsidRDefault="007C146A" w:rsidP="00BF7265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A68532F" wp14:editId="3F4C2E02">
            <wp:extent cx="163830" cy="163830"/>
            <wp:effectExtent l="0" t="0" r="1270" b="1270"/>
            <wp:docPr id="2" name="Picture 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1D54EF25" w14:textId="007053AB" w:rsidR="00867442" w:rsidRPr="00C03C44" w:rsidRDefault="007C146A" w:rsidP="00BF7265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88DC6D6" wp14:editId="2211DDDB">
            <wp:extent cx="163830" cy="163830"/>
            <wp:effectExtent l="0" t="0" r="1270" b="1270"/>
            <wp:docPr id="3" name="Picture 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5D0914AD" w14:textId="406B07EA" w:rsidR="00BF7265" w:rsidRPr="00C03C44" w:rsidRDefault="00BF7265" w:rsidP="007C146A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09F1CA01" w14:textId="523609E1" w:rsidR="00415160" w:rsidRPr="00C03C44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Identify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b</w:t>
      </w:r>
      <w:r w:rsidR="00AC1407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udgeting</w:t>
      </w:r>
      <w:r w:rsidR="00BF726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/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financing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options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C1407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to financially</w:t>
      </w:r>
      <w:r w:rsidR="00DF686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1921A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support </w:t>
      </w:r>
      <w:r w:rsidR="007150F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risk communication and/or </w:t>
      </w:r>
      <w:r w:rsidR="00EF577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community engagement</w:t>
      </w:r>
      <w:r w:rsidR="001921A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trainings, </w:t>
      </w:r>
      <w:r w:rsidR="00DF686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activities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,</w:t>
      </w:r>
      <w:r w:rsidR="000429B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F5617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and staff </w:t>
      </w:r>
      <w:r w:rsidR="00EF577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to respond to outbreak</w:t>
      </w:r>
      <w:r w:rsidR="00BF726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</w:t>
      </w:r>
      <w:r w:rsidR="003A04C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</w:p>
    <w:p w14:paraId="32CC3320" w14:textId="4C2DBF89" w:rsidR="007C146A" w:rsidRPr="00C03C44" w:rsidRDefault="007C146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164DAB4" wp14:editId="3526EC94">
            <wp:extent cx="163830" cy="163830"/>
            <wp:effectExtent l="0" t="0" r="1270" b="1270"/>
            <wp:docPr id="7" name="Picture 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5ED212D6" w14:textId="233F79E6" w:rsidR="007C146A" w:rsidRPr="00C03C44" w:rsidRDefault="007C146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14EC4A8" wp14:editId="35DB212C">
            <wp:extent cx="163830" cy="163830"/>
            <wp:effectExtent l="0" t="0" r="1270" b="1270"/>
            <wp:docPr id="8" name="Picture 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0D312E5C" w14:textId="77D3E607" w:rsidR="007C146A" w:rsidRPr="00C03C44" w:rsidRDefault="007C146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2945B0B" wp14:editId="00758878">
            <wp:extent cx="163830" cy="163830"/>
            <wp:effectExtent l="0" t="0" r="1270" b="1270"/>
            <wp:docPr id="9" name="Picture 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20373FB" w14:textId="26BF6991" w:rsidR="001921AB" w:rsidRPr="00C03C44" w:rsidRDefault="001921AB" w:rsidP="000429BA">
      <w:pPr>
        <w:pStyle w:val="ListParagraph"/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141A1DBF" w14:textId="049333CE" w:rsidR="008C76DB" w:rsidRPr="00C03C44" w:rsidRDefault="00F371CE" w:rsidP="008C76DB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Include t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raining modules on risk 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communication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and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community engagement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in 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staff</w:t>
      </w:r>
      <w:r w:rsidR="007C146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training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/orientations for outbreak preparedness and response</w:t>
      </w:r>
      <w:r w:rsidR="008C76D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, with emphasis on strengthening competencies in </w:t>
      </w:r>
      <w:r w:rsidR="008C76DB" w:rsidRPr="00C03C44">
        <w:rPr>
          <w:rFonts w:ascii="Gill Sans MT" w:eastAsia="Times New Roman" w:hAnsi="Gill Sans MT" w:cs="Times New Roman"/>
          <w:bCs/>
          <w:i/>
          <w:color w:val="000000" w:themeColor="text1"/>
          <w:sz w:val="24"/>
          <w:szCs w:val="24"/>
        </w:rPr>
        <w:t>participatory</w:t>
      </w:r>
      <w:r w:rsidR="008C76D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engagement, building trust, and adapting approaches and messaging to social and cultural contexts.</w:t>
      </w:r>
    </w:p>
    <w:p w14:paraId="3A605DB1" w14:textId="1DC76935" w:rsidR="008C76DB" w:rsidRPr="00C03C44" w:rsidRDefault="008C76DB" w:rsidP="008C76DB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EEB9364" wp14:editId="7E821F91">
            <wp:extent cx="163830" cy="163830"/>
            <wp:effectExtent l="0" t="0" r="1270" b="1270"/>
            <wp:docPr id="91" name="Picture 9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DF7258C" w14:textId="09D16B33" w:rsidR="008C76DB" w:rsidRPr="00C03C44" w:rsidRDefault="008C76DB" w:rsidP="008C76DB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101FF60" wp14:editId="24AEEFE7">
            <wp:extent cx="163830" cy="163830"/>
            <wp:effectExtent l="0" t="0" r="1270" b="1270"/>
            <wp:docPr id="92" name="Picture 9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2D6821F6" w14:textId="03A15273" w:rsidR="008C76DB" w:rsidRPr="00C03C44" w:rsidRDefault="008C76DB" w:rsidP="008C76DB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6362537" wp14:editId="463EA6F1">
            <wp:extent cx="163830" cy="163830"/>
            <wp:effectExtent l="0" t="0" r="1270" b="1270"/>
            <wp:docPr id="93" name="Picture 9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5E2E645D" w14:textId="77777777" w:rsidR="008C76DB" w:rsidRPr="00C03C44" w:rsidRDefault="008C76DB" w:rsidP="008C76DB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4F9F9869" w14:textId="78907B19" w:rsidR="008C76DB" w:rsidRPr="00C03C44" w:rsidRDefault="008C76DB" w:rsidP="008C76DB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Train staff in risk communication and community engagement 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in outbreak 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competencies (see above).</w:t>
      </w:r>
    </w:p>
    <w:p w14:paraId="4EAB44A7" w14:textId="7EEA55CC" w:rsidR="007C146A" w:rsidRPr="00C03C44" w:rsidRDefault="007C146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F786ED8" wp14:editId="0A413641">
            <wp:extent cx="163830" cy="163830"/>
            <wp:effectExtent l="0" t="0" r="1270" b="1270"/>
            <wp:docPr id="13" name="Picture 1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B75A7C4" w14:textId="61FB789D" w:rsidR="007C146A" w:rsidRPr="00C03C44" w:rsidRDefault="007C146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2CB10AB" wp14:editId="434B1450">
            <wp:extent cx="163830" cy="163830"/>
            <wp:effectExtent l="0" t="0" r="1270" b="1270"/>
            <wp:docPr id="14" name="Picture 1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0BB1CFAA" w14:textId="302F73F0" w:rsidR="007C146A" w:rsidRPr="00C03C44" w:rsidRDefault="007C146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25710A4" wp14:editId="51262A4F">
            <wp:extent cx="163830" cy="163830"/>
            <wp:effectExtent l="0" t="0" r="1270" b="1270"/>
            <wp:docPr id="15" name="Picture 1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98079F7" w14:textId="77777777" w:rsidR="000E51A6" w:rsidRPr="00C03C44" w:rsidRDefault="000E51A6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2D9E79B5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7D2AC85D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0891ECA1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7714DB06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2BF88D46" w14:textId="612F852C" w:rsidR="00415160" w:rsidRPr="00C03C44" w:rsidRDefault="00415160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lastRenderedPageBreak/>
        <w:t>Coordination</w:t>
      </w:r>
    </w:p>
    <w:p w14:paraId="14F62A9E" w14:textId="77777777" w:rsidR="00415160" w:rsidRPr="00C03C44" w:rsidRDefault="00415160" w:rsidP="00415160">
      <w:pPr>
        <w:spacing w:after="0" w:line="240" w:lineRule="auto"/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</w:pPr>
    </w:p>
    <w:p w14:paraId="28BA5B58" w14:textId="566FA04B" w:rsidR="00BF7265" w:rsidRPr="00C03C44" w:rsidRDefault="00BF7265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Lead/participate in a mapping of </w:t>
      </w:r>
      <w:r w:rsidR="00D515F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health promotion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and community engagement competencies in-country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among </w:t>
      </w:r>
      <w:r w:rsidR="00D515F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humanitarian response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sectors (e.g., WASH, nutrition, child protection)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to determine strengths, weaknesses, gaps and how to collaborate.   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6E437AA" wp14:editId="7C3830B2">
            <wp:extent cx="163830" cy="163830"/>
            <wp:effectExtent l="0" t="0" r="1270" b="1270"/>
            <wp:docPr id="82" name="Picture 8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04EFE36" w14:textId="1F64D9DF" w:rsidR="00BF7265" w:rsidRPr="00C03C44" w:rsidRDefault="00BF7265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2B128DC" wp14:editId="31792DB4">
            <wp:extent cx="163830" cy="163830"/>
            <wp:effectExtent l="0" t="0" r="1270" b="1270"/>
            <wp:docPr id="83" name="Picture 8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17B1CC8" w14:textId="63AFBF7A" w:rsidR="00BF7265" w:rsidRPr="00C03C44" w:rsidRDefault="00BF7265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0DB2B8F" wp14:editId="4322C645">
            <wp:extent cx="163830" cy="163830"/>
            <wp:effectExtent l="0" t="0" r="1270" b="1270"/>
            <wp:docPr id="84" name="Picture 8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2B0C0338" w14:textId="77777777" w:rsidR="00BF7265" w:rsidRPr="00C03C44" w:rsidRDefault="00BF7265" w:rsidP="00BF7265">
      <w:p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39EEE2DD" w14:textId="52CED03F" w:rsidR="00747ECA" w:rsidRPr="00C03C44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Identify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</w:t>
      </w:r>
      <w:r w:rsidR="008C456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5724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country-level </w:t>
      </w:r>
      <w:r w:rsidR="0018185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focal person</w:t>
      </w:r>
      <w:r w:rsidR="0079645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(s)</w:t>
      </w:r>
      <w:r w:rsidR="0018185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C8680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to</w:t>
      </w:r>
      <w:r w:rsidR="0018185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participate in </w:t>
      </w:r>
      <w:r w:rsidR="0053475C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national and local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-</w:t>
      </w:r>
      <w:r w:rsidR="0053475C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level </w:t>
      </w:r>
      <w:r w:rsidR="0018185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coordination mechanisms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to ensure</w:t>
      </w:r>
      <w:r w:rsidR="0018185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CB67D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messages and 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community-level </w:t>
      </w:r>
      <w:r w:rsidR="00CB67D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activities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are coordinated with others on the ground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during </w:t>
      </w:r>
      <w:r w:rsidR="00D515F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an</w:t>
      </w:r>
      <w:r w:rsidR="000E51A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outbreak</w:t>
      </w:r>
      <w:r w:rsidR="00D515F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(e.g., risk communication and community engagement [RCCE] pillar or health cluster)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</w:p>
    <w:p w14:paraId="60D854A9" w14:textId="590DC785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28E687B" wp14:editId="7C4AFA57">
            <wp:extent cx="163830" cy="163830"/>
            <wp:effectExtent l="0" t="0" r="1270" b="1270"/>
            <wp:docPr id="16" name="Picture 1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6634C623" w14:textId="2B421D05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372DCA1" wp14:editId="48870499">
            <wp:extent cx="163830" cy="163830"/>
            <wp:effectExtent l="0" t="0" r="1270" b="1270"/>
            <wp:docPr id="17" name="Picture 1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8E6FF2E" w14:textId="0FEDDAE3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EC841F0" wp14:editId="639684A7">
            <wp:extent cx="163830" cy="163830"/>
            <wp:effectExtent l="0" t="0" r="1270" b="1270"/>
            <wp:docPr id="18" name="Picture 1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1FE3D404" w14:textId="55FFDF0C" w:rsidR="00406B3A" w:rsidRPr="00C03C44" w:rsidRDefault="00747ECA" w:rsidP="00080102">
      <w:pPr>
        <w:pStyle w:val="ListParagraph"/>
        <w:numPr>
          <w:ilvl w:val="0"/>
          <w:numId w:val="28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If such a coordination mechanism does not exist in your country, 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identify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36072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an 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existing coordination structure </w:t>
      </w:r>
      <w:r w:rsidR="008C76D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to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leverag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e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to </w:t>
      </w:r>
      <w:r w:rsidR="00794B01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coordinate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messaging and community engagement </w:t>
      </w:r>
      <w:r w:rsidR="00C74137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with other </w:t>
      </w:r>
      <w:r w:rsidR="00C8680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NGOs </w:t>
      </w:r>
      <w:r w:rsidR="00C74137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and the Ministry</w:t>
      </w:r>
      <w:r w:rsidR="007B06D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of Health</w:t>
      </w:r>
      <w:r w:rsidR="0008010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(MOH)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</w:p>
    <w:p w14:paraId="02496610" w14:textId="0DE8CA21" w:rsidR="00406B3A" w:rsidRPr="00C03C44" w:rsidRDefault="00406B3A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710306F" wp14:editId="331ED95B">
            <wp:extent cx="163830" cy="163830"/>
            <wp:effectExtent l="0" t="0" r="1270" b="1270"/>
            <wp:docPr id="19" name="Picture 1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54DD27A9" w14:textId="5C06F60C" w:rsidR="00406B3A" w:rsidRPr="00C03C44" w:rsidRDefault="00406B3A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1855964" wp14:editId="33C3294C">
            <wp:extent cx="163830" cy="163830"/>
            <wp:effectExtent l="0" t="0" r="1270" b="1270"/>
            <wp:docPr id="20" name="Picture 2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34772E9" w14:textId="6E5979B3" w:rsidR="00406B3A" w:rsidRPr="00C03C44" w:rsidRDefault="00406B3A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1140586" wp14:editId="5824D95E">
            <wp:extent cx="163830" cy="163830"/>
            <wp:effectExtent l="0" t="0" r="1270" b="1270"/>
            <wp:docPr id="21" name="Picture 2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7CA07D86" w14:textId="259C1CF7" w:rsidR="00C74137" w:rsidRPr="00C03C44" w:rsidRDefault="00C74137" w:rsidP="00406B3A">
      <w:pPr>
        <w:pStyle w:val="ListParagraph"/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68428E99" w14:textId="77A14469" w:rsidR="00406B3A" w:rsidRPr="00C03C44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Maintain a contact list/mapping of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community influencers</w:t>
      </w:r>
      <w:r w:rsidR="00406B3A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—e</w:t>
      </w:r>
      <w:r w:rsidR="009E6C44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.g., community leaders, religious leaders, health workers, traditional healers, alternative medicine providers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—that can be leveraged to support community engagement and community mitigation</w:t>
      </w:r>
      <w:r w:rsidR="000E51A6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 of an outbreak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.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br/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406B3A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A7C8652" wp14:editId="1639ED6E">
            <wp:extent cx="163830" cy="163830"/>
            <wp:effectExtent l="0" t="0" r="1270" b="1270"/>
            <wp:docPr id="25" name="Picture 2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5C6583B5" w14:textId="1C24F2BC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7564F54" wp14:editId="552E3676">
            <wp:extent cx="163830" cy="163830"/>
            <wp:effectExtent l="0" t="0" r="1270" b="1270"/>
            <wp:docPr id="26" name="Picture 2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6DD508BF" w14:textId="5DF8F2A2" w:rsidR="00632E5E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8EC2AC0" wp14:editId="4730F871">
            <wp:extent cx="163830" cy="163830"/>
            <wp:effectExtent l="0" t="0" r="1270" b="1270"/>
            <wp:docPr id="27" name="Picture 2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20BD88B7" w14:textId="77777777" w:rsidR="00632E5E" w:rsidRPr="00C03C44" w:rsidRDefault="00632E5E" w:rsidP="00632E5E">
      <w:pPr>
        <w:pStyle w:val="ListParagraph"/>
        <w:rPr>
          <w:rFonts w:ascii="Gill Sans MT" w:eastAsia="Times New Roman" w:hAnsi="Gill Sans MT" w:cs="Times New Roman"/>
          <w:color w:val="000000" w:themeColor="text1"/>
          <w:sz w:val="24"/>
          <w:szCs w:val="24"/>
        </w:rPr>
      </w:pPr>
    </w:p>
    <w:p w14:paraId="55C30ABA" w14:textId="24C48926" w:rsidR="00406B3A" w:rsidRPr="00C03C44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Maintain a contact list/mapping of</w:t>
      </w:r>
      <w:r w:rsidR="00632E5E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 </w:t>
      </w:r>
      <w:r w:rsidR="009E6C44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networks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—e</w:t>
      </w:r>
      <w:r w:rsidR="009E6C44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.g., women’s groups, community health volunteers, youth associations, religious groups, unions, and social mobilizers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—t</w:t>
      </w:r>
      <w:r w:rsidR="009E6C44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hat can 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support</w:t>
      </w:r>
      <w:r w:rsidR="009E6C44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 community engagement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 and community mitigation</w:t>
      </w:r>
      <w:r w:rsidR="000E51A6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 xml:space="preserve"> of an outbreak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t>, including names and contact information.</w:t>
      </w:r>
      <w:r w:rsidR="00406B3A" w:rsidRPr="00C03C44">
        <w:rPr>
          <w:rFonts w:ascii="Gill Sans MT" w:eastAsia="Times New Roman" w:hAnsi="Gill Sans MT" w:cs="Times New Roman"/>
          <w:color w:val="000000" w:themeColor="text1"/>
          <w:sz w:val="24"/>
          <w:szCs w:val="24"/>
        </w:rPr>
        <w:br/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406B3A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A36B2CB" wp14:editId="3F75CDF1">
            <wp:extent cx="163830" cy="163830"/>
            <wp:effectExtent l="0" t="0" r="1270" b="1270"/>
            <wp:docPr id="28" name="Picture 2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67F6F6B" w14:textId="64290F76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56A793C" wp14:editId="00B9AEBE">
            <wp:extent cx="163830" cy="163830"/>
            <wp:effectExtent l="0" t="0" r="1270" b="1270"/>
            <wp:docPr id="29" name="Picture 2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BD34529" w14:textId="450F03B2" w:rsidR="004E7B60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E716E7C" wp14:editId="10A8857C">
            <wp:extent cx="163830" cy="163830"/>
            <wp:effectExtent l="0" t="0" r="1270" b="1270"/>
            <wp:docPr id="30" name="Picture 3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3EF78398" w14:textId="77777777" w:rsidR="004E7B60" w:rsidRPr="00C03C44" w:rsidRDefault="004E7B60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463BE64D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09C347E9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5BE02F4E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502FD21A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</w:p>
    <w:p w14:paraId="5E2E466A" w14:textId="77777777" w:rsidR="00C03C44" w:rsidRDefault="00C03C44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47DC99C" w14:textId="559C09BC" w:rsidR="00415160" w:rsidRPr="00C03C44" w:rsidRDefault="00415160" w:rsidP="00415160">
      <w:pPr>
        <w:spacing w:after="0" w:line="240" w:lineRule="auto"/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lastRenderedPageBreak/>
        <w:t>Strategy and Implementation</w:t>
      </w:r>
      <w:r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br/>
      </w:r>
    </w:p>
    <w:p w14:paraId="183EBFC5" w14:textId="2C377263" w:rsidR="00406B3A" w:rsidRPr="00C03C44" w:rsidRDefault="00406B3A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Adopt </w:t>
      </w:r>
      <w:r w:rsidR="001E23D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Standard Operating Procedures for conducting </w:t>
      </w:r>
      <w:r w:rsidR="00BF7265" w:rsidRPr="00C03C44">
        <w:rPr>
          <w:rFonts w:ascii="Gill Sans MT" w:eastAsia="Times New Roman" w:hAnsi="Gill Sans MT" w:cs="Times New Roman"/>
          <w:bCs/>
          <w:i/>
          <w:color w:val="000000" w:themeColor="text1"/>
          <w:sz w:val="24"/>
          <w:szCs w:val="24"/>
        </w:rPr>
        <w:t>participatory</w:t>
      </w:r>
      <w:r w:rsidR="00BF7265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4E7B6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community engagement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, which include 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staff safety protocols, 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and which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0A229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can be adapted </w:t>
      </w:r>
      <w:r w:rsidR="001E23D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for 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specific disease outbreaks.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12C0381" wp14:editId="608F319F">
            <wp:extent cx="163830" cy="163830"/>
            <wp:effectExtent l="0" t="0" r="1270" b="1270"/>
            <wp:docPr id="31" name="Picture 3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A4FA93B" w14:textId="3E59A1F9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06F7EB8" wp14:editId="005D5082">
            <wp:extent cx="163830" cy="163830"/>
            <wp:effectExtent l="0" t="0" r="1270" b="1270"/>
            <wp:docPr id="32" name="Picture 3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65D6EC3" w14:textId="17B94EBF" w:rsidR="001E23D6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6E641DA" wp14:editId="1A790BA3">
            <wp:extent cx="163830" cy="163830"/>
            <wp:effectExtent l="0" t="0" r="1270" b="1270"/>
            <wp:docPr id="33" name="Picture 3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1E23D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</w:p>
    <w:p w14:paraId="7FCB3DBD" w14:textId="40C6E109" w:rsidR="00406B3A" w:rsidRPr="00C03C44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Have an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nternal k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nowledge management</w:t>
      </w:r>
      <w:r w:rsidR="0053475C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system (e.g., shared file drive)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with</w:t>
      </w:r>
      <w:r w:rsidR="0053475C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4E7B6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risk communication and community engagement</w:t>
      </w:r>
      <w:r w:rsidR="0053475C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resources</w:t>
      </w:r>
      <w:r w:rsidR="00D246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, 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and </w:t>
      </w:r>
      <w:r w:rsidR="00151C9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identify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 focal person to continuously update.</w: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406B3A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6D23A50" wp14:editId="5A13ED9F">
            <wp:extent cx="163830" cy="163830"/>
            <wp:effectExtent l="0" t="0" r="1270" b="1270"/>
            <wp:docPr id="34" name="Picture 3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406B3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30C72CC" w14:textId="50AD49E6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98FCF71" wp14:editId="2D16045C">
            <wp:extent cx="163830" cy="163830"/>
            <wp:effectExtent l="0" t="0" r="1270" b="1270"/>
            <wp:docPr id="35" name="Picture 3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F9CCEC0" w14:textId="43B19250" w:rsidR="00406B3A" w:rsidRPr="00C03C44" w:rsidRDefault="00406B3A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0B1FCE3" wp14:editId="073F648A">
            <wp:extent cx="163830" cy="163830"/>
            <wp:effectExtent l="0" t="0" r="1270" b="1270"/>
            <wp:docPr id="36" name="Picture 3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08010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</w:p>
    <w:p w14:paraId="2EC35A0D" w14:textId="40DE0958" w:rsidR="001921AB" w:rsidRPr="00C03C44" w:rsidRDefault="0036072D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Have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r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isk communication and community engagement</w:t>
      </w:r>
      <w:r w:rsidR="001921A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1E23D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resources</w:t>
      </w:r>
      <w:r w:rsidR="001921A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5674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that can be </w:t>
      </w:r>
      <w:r w:rsidR="0079645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adapted</w:t>
      </w:r>
      <w:r w:rsidR="00A5674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191F9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for</w:t>
      </w:r>
      <w:r w:rsidR="00C53B1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specific disease outbreaks</w:t>
      </w:r>
      <w:r w:rsidR="00B930A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,</w:t>
      </w:r>
      <w:r w:rsidR="00191F9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B930AA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such as</w:t>
      </w:r>
      <w:r w:rsidR="001921A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:</w:t>
      </w:r>
    </w:p>
    <w:p w14:paraId="2C353C32" w14:textId="01DB240F" w:rsidR="00A521FF" w:rsidRPr="00C03C44" w:rsidRDefault="00B62890" w:rsidP="00080102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Rapid assessment</w:t>
      </w:r>
      <w:r w:rsidR="00C53B1D"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 xml:space="preserve"> tools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1E23D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with consideration to </w:t>
      </w:r>
      <w:r w:rsidR="00643A3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knowledge, attitudes, perceived risks</w:t>
      </w:r>
      <w:r w:rsidR="001E23D6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/benefits</w:t>
      </w:r>
      <w:r w:rsidR="00643A3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, social norms, cultural/religious contexts, self-efficacy, structural factors, gender/power dynamics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  <w:r w:rsidR="00796450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72A3BA9" wp14:editId="4A3F77BE">
            <wp:extent cx="163830" cy="163830"/>
            <wp:effectExtent l="0" t="0" r="1270" b="1270"/>
            <wp:docPr id="37" name="Picture 3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1531F96" w14:textId="7CC42BBE" w:rsidR="00A521FF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FE19A72" wp14:editId="0CEF133C">
            <wp:extent cx="163830" cy="163830"/>
            <wp:effectExtent l="0" t="0" r="1270" b="1270"/>
            <wp:docPr id="38" name="Picture 3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5F28EF03" w14:textId="735E23F2" w:rsidR="00643A3E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AC1962D" wp14:editId="7FAB0AB8">
            <wp:extent cx="163830" cy="163830"/>
            <wp:effectExtent l="0" t="0" r="1270" b="1270"/>
            <wp:docPr id="39" name="Picture 3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489C52B4" w14:textId="52582E9D" w:rsidR="00151C9D" w:rsidRPr="00C03C44" w:rsidRDefault="00151C9D" w:rsidP="00151C9D">
      <w:pPr>
        <w:pStyle w:val="ListParagraph"/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Messaging guidelines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including </w:t>
      </w:r>
      <w:r w:rsidR="00D515F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guidance on contextualizing messages to context, and a tool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for pretesting messages. 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7DB0BB7" wp14:editId="795D313C">
            <wp:extent cx="163830" cy="163830"/>
            <wp:effectExtent l="0" t="0" r="1270" b="1270"/>
            <wp:docPr id="85" name="Picture 8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01D9B82" w14:textId="13FDBB41" w:rsidR="00151C9D" w:rsidRPr="00C03C44" w:rsidRDefault="00151C9D" w:rsidP="00151C9D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736CF20" wp14:editId="5CB4A9B5">
            <wp:extent cx="163830" cy="163830"/>
            <wp:effectExtent l="0" t="0" r="1270" b="1270"/>
            <wp:docPr id="86" name="Picture 8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AE39514" w14:textId="17931E4E" w:rsidR="00151C9D" w:rsidRPr="00C03C44" w:rsidRDefault="00151C9D" w:rsidP="00151C9D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9DF6F9B" wp14:editId="2BC94189">
            <wp:extent cx="163830" cy="163830"/>
            <wp:effectExtent l="0" t="0" r="1270" b="1270"/>
            <wp:docPr id="87" name="Picture 8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059BA1B4" w14:textId="2A7BB60D" w:rsidR="00A521FF" w:rsidRPr="00C03C44" w:rsidRDefault="0053475C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C</w:t>
      </w:r>
      <w:r w:rsidR="00294357"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ommunity engagement</w:t>
      </w:r>
      <w:r w:rsidR="00A5724A"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 xml:space="preserve"> </w:t>
      </w:r>
      <w:r w:rsidR="00A521FF"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standards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and approaches that emphasize </w:t>
      </w:r>
      <w:r w:rsidR="00A521FF" w:rsidRPr="00C03C44">
        <w:rPr>
          <w:rFonts w:ascii="Gill Sans MT" w:eastAsia="Times New Roman" w:hAnsi="Gill Sans MT" w:cs="Times New Roman"/>
          <w:bCs/>
          <w:i/>
          <w:color w:val="000000" w:themeColor="text1"/>
          <w:sz w:val="24"/>
          <w:szCs w:val="24"/>
        </w:rPr>
        <w:t>participatory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engagement (e.g., UNCIEF C4D Quality Standards and Indicators for Community Engagement), designed specifically for outbreaks or can be adapted for outbreak</w:t>
      </w:r>
      <w:r w:rsidR="00151C9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s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  <w:r w:rsidR="00151C9D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NB: These should include considerations for remote engagement.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4B4D875" wp14:editId="68E0D6AB">
            <wp:extent cx="163830" cy="163830"/>
            <wp:effectExtent l="0" t="0" r="1270" b="1270"/>
            <wp:docPr id="40" name="Picture 4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E97224D" w14:textId="077C82E1" w:rsidR="00A521FF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49859FB" wp14:editId="33C0AF53">
            <wp:extent cx="163830" cy="163830"/>
            <wp:effectExtent l="0" t="0" r="1270" b="1270"/>
            <wp:docPr id="41" name="Picture 4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16971249" w14:textId="5F553C75" w:rsidR="00C53B1D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212E563" wp14:editId="29F6BF76">
            <wp:extent cx="163830" cy="163830"/>
            <wp:effectExtent l="0" t="0" r="1270" b="1270"/>
            <wp:docPr id="42" name="Picture 4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42673445" w14:textId="6AC27473" w:rsidR="00A521FF" w:rsidRPr="00C03C44" w:rsidRDefault="00A5674A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t>Community feedback monitoring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tools and guidance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designed specifically for outbreaks or can be adapted for outbreaks.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6860FE5" wp14:editId="001C8383">
            <wp:extent cx="163830" cy="163830"/>
            <wp:effectExtent l="0" t="0" r="1270" b="1270"/>
            <wp:docPr id="43" name="Picture 4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0C4D1941" w14:textId="22F6AE35" w:rsidR="00A521FF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0EDD85C" wp14:editId="1F921BDD">
            <wp:extent cx="163830" cy="163830"/>
            <wp:effectExtent l="0" t="0" r="1270" b="1270"/>
            <wp:docPr id="44" name="Picture 4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0F5A99D" w14:textId="067DF41F" w:rsidR="00A5674A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343B85D" wp14:editId="1804A1C7">
            <wp:extent cx="163830" cy="163830"/>
            <wp:effectExtent l="0" t="0" r="1270" b="1270"/>
            <wp:docPr id="45" name="Picture 4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32AD35A5" w14:textId="1BFCF534" w:rsidR="00A521FF" w:rsidRPr="00C03C44" w:rsidRDefault="00643A3E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iCs/>
          <w:color w:val="000000" w:themeColor="text1"/>
          <w:sz w:val="24"/>
          <w:szCs w:val="24"/>
        </w:rPr>
        <w:lastRenderedPageBreak/>
        <w:t xml:space="preserve">Social media and mobile technology </w: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guidance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either designed specifically for outbreaks or can be adapted for outbreaks</w:t>
      </w:r>
      <w:r w:rsidR="00D515FB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br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A521FF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5BD3E41" wp14:editId="080A148A">
            <wp:extent cx="163830" cy="163830"/>
            <wp:effectExtent l="0" t="0" r="1270" b="1270"/>
            <wp:docPr id="46" name="Picture 4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A521FF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9EFD8C1" w14:textId="17793830" w:rsidR="00A521FF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5C2AC35" wp14:editId="185517F7">
            <wp:extent cx="163830" cy="163830"/>
            <wp:effectExtent l="0" t="0" r="1270" b="1270"/>
            <wp:docPr id="47" name="Picture 4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292691ED" w14:textId="2CAA4EEA" w:rsidR="00643A3E" w:rsidRPr="00C03C44" w:rsidRDefault="00A521FF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38526BD" wp14:editId="762BE97D">
            <wp:extent cx="163830" cy="163830"/>
            <wp:effectExtent l="0" t="0" r="1270" b="1270"/>
            <wp:docPr id="48" name="Picture 4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46B93EF8" w14:textId="39D13A75" w:rsidR="00643A3E" w:rsidRPr="00C03C44" w:rsidRDefault="00643A3E" w:rsidP="00643A3E">
      <w:p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5FB37E92" w14:textId="644D0494" w:rsidR="00643A3E" w:rsidRPr="00C03C44" w:rsidRDefault="008C76DB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Adopt a c</w:t>
      </w:r>
      <w:r w:rsidR="00643A3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ommunity feedback </w:t>
      </w:r>
      <w:r w:rsidR="0053475C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mechanism</w:t>
      </w:r>
      <w:r w:rsidR="00CB67D4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</w:t>
      </w:r>
      <w:r w:rsidR="00643A3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that includes tracking rumors</w:t>
      </w:r>
      <w:r w:rsidR="0008010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/</w:t>
      </w:r>
      <w:r w:rsidR="00643A3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misinformation</w:t>
      </w:r>
      <w:r w:rsidR="00080102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, and a process for sharing data with other partners and the MOH</w:t>
      </w:r>
      <w:r w:rsidR="00632E5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>.</w:t>
      </w:r>
    </w:p>
    <w:p w14:paraId="6A53EE84" w14:textId="70DA77B8" w:rsidR="00A521FF" w:rsidRPr="00C03C44" w:rsidRDefault="00A521FF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B25AF26" wp14:editId="3FBCFCDA">
            <wp:extent cx="163830" cy="163830"/>
            <wp:effectExtent l="0" t="0" r="1270" b="1270"/>
            <wp:docPr id="52" name="Picture 5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30F22A60" w14:textId="2BF21F4D" w:rsidR="00A521FF" w:rsidRPr="00C03C44" w:rsidRDefault="00A521FF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03D0BF0" wp14:editId="50FFE0BC">
            <wp:extent cx="163830" cy="163830"/>
            <wp:effectExtent l="0" t="0" r="1270" b="1270"/>
            <wp:docPr id="53" name="Picture 5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55507858" w14:textId="0F89413B" w:rsidR="00A521FF" w:rsidRPr="00C03C44" w:rsidRDefault="00A521FF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35D7161" wp14:editId="32D34AFD">
            <wp:extent cx="163830" cy="163830"/>
            <wp:effectExtent l="0" t="0" r="1270" b="1270"/>
            <wp:docPr id="54" name="Picture 5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7293641C" w14:textId="50331FC3" w:rsidR="00F371CE" w:rsidRPr="00C03C44" w:rsidRDefault="00F371CE" w:rsidP="00080102">
      <w:pPr>
        <w:pStyle w:val="ListParagraph"/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Include a p</w:t>
      </w:r>
      <w:r w:rsidR="000A229B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rocess</w:t>
      </w: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for </w:t>
      </w:r>
      <w:r w:rsidR="001E23D6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linking</w:t>
      </w:r>
      <w:r w:rsidR="00C8680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to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relevant services</w:t>
      </w:r>
      <w:r w:rsidR="00CB67D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to address community concerns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, for example</w:t>
      </w:r>
      <w:r w:rsidR="00191F9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Mental Health and Psychosocial Support </w:t>
      </w:r>
      <w:r w:rsidR="00191F9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or Child Support 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services</w:t>
      </w:r>
      <w:r w:rsidR="00632E5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.</w:t>
      </w: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606429D3" wp14:editId="7DA57564">
            <wp:extent cx="163830" cy="163830"/>
            <wp:effectExtent l="0" t="0" r="1270" b="1270"/>
            <wp:docPr id="61" name="Picture 6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B748806" w14:textId="18713C83" w:rsidR="00F371CE" w:rsidRPr="00C03C44" w:rsidRDefault="00F371CE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F957331" wp14:editId="3370EE00">
            <wp:extent cx="163830" cy="163830"/>
            <wp:effectExtent l="0" t="0" r="1270" b="1270"/>
            <wp:docPr id="62" name="Picture 6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39C88C97" w14:textId="79634960" w:rsidR="00643A3E" w:rsidRPr="00C03C44" w:rsidRDefault="00F371CE" w:rsidP="00080102">
      <w:pPr>
        <w:pStyle w:val="ListParagraph"/>
        <w:spacing w:after="0" w:line="240" w:lineRule="auto"/>
        <w:ind w:left="108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E674F9E" wp14:editId="2C661D2B">
            <wp:extent cx="163830" cy="163830"/>
            <wp:effectExtent l="0" t="0" r="1270" b="1270"/>
            <wp:docPr id="63" name="Picture 6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191F9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</w:p>
    <w:p w14:paraId="60D1648C" w14:textId="618FD50F" w:rsidR="000E50F7" w:rsidRPr="00C03C44" w:rsidRDefault="00415160" w:rsidP="00415160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t>Technology</w:t>
      </w:r>
      <w:r w:rsidR="000E50F7"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br/>
      </w:r>
    </w:p>
    <w:p w14:paraId="6E2FF612" w14:textId="782D621C" w:rsidR="00F371CE" w:rsidRPr="00C03C44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Staff have a</w:t>
      </w:r>
      <w:r w:rsidR="00E50556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ccess and 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ability to</w:t>
      </w:r>
      <w:r w:rsidR="00E50556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</w:t>
      </w:r>
      <w:r w:rsidR="00CB67D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use </w:t>
      </w:r>
      <w:r w:rsidR="00E50556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mobile technologies for</w:t>
      </w:r>
      <w:r w:rsidR="004E7B6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collecting data and promoting behaviors</w:t>
      </w: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.</w:t>
      </w: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0FC4C58E" wp14:editId="0ADB9761">
            <wp:extent cx="163830" cy="163830"/>
            <wp:effectExtent l="0" t="0" r="1270" b="1270"/>
            <wp:docPr id="64" name="Picture 6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41000F65" w14:textId="4DD09E49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54B1FF5" wp14:editId="4E15CAED">
            <wp:extent cx="163830" cy="163830"/>
            <wp:effectExtent l="0" t="0" r="1270" b="1270"/>
            <wp:docPr id="65" name="Picture 6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4E52084A" w14:textId="48E95101" w:rsidR="009E6C44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3516C688" wp14:editId="45CB207B">
            <wp:extent cx="163830" cy="163830"/>
            <wp:effectExtent l="0" t="0" r="1270" b="1270"/>
            <wp:docPr id="66" name="Picture 6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  <w:r w:rsidR="00191F9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</w:p>
    <w:p w14:paraId="568E2DDE" w14:textId="55782265" w:rsidR="00F371CE" w:rsidRPr="00C03C44" w:rsidRDefault="00F371CE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Staff have a</w:t>
      </w:r>
      <w:r w:rsidR="00643A3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ccess and </w:t>
      </w:r>
      <w:r w:rsidR="009E6C4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ability</w:t>
      </w:r>
      <w:r w:rsidR="00643A3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to use Web technologies for </w:t>
      </w:r>
      <w:r w:rsidR="004E7B6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promoting optional behaviors</w:t>
      </w:r>
      <w:r w:rsidR="00643A3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(e.g., social media)</w:t>
      </w:r>
      <w:r w:rsidR="007150F4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.</w:t>
      </w: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9B62810" wp14:editId="3C2BDE35">
            <wp:extent cx="163830" cy="163830"/>
            <wp:effectExtent l="0" t="0" r="1270" b="1270"/>
            <wp:docPr id="67" name="Picture 6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278282F4" w14:textId="1961F8FF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9F85C69" wp14:editId="47FE1B16">
            <wp:extent cx="163830" cy="163830"/>
            <wp:effectExtent l="0" t="0" r="1270" b="1270"/>
            <wp:docPr id="68" name="Picture 6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D500339" w14:textId="3448253C" w:rsidR="00643A3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A61E70B" wp14:editId="18E978D9">
            <wp:extent cx="163830" cy="163830"/>
            <wp:effectExtent l="0" t="0" r="1270" b="1270"/>
            <wp:docPr id="69" name="Picture 6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562D704A" w14:textId="79293F9A" w:rsidR="009E6C44" w:rsidRPr="00C03C44" w:rsidRDefault="009E6C44" w:rsidP="00191F90">
      <w:p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36618E8C" w14:textId="00AFD070" w:rsidR="00415160" w:rsidRPr="00C03C44" w:rsidRDefault="00415160" w:rsidP="00643A3E">
      <w:pPr>
        <w:spacing w:after="0" w:line="240" w:lineRule="auto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t>Monitoring and Evaluation</w:t>
      </w:r>
      <w:r w:rsidR="000E50F7" w:rsidRPr="00C03C44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</w:rPr>
        <w:br/>
      </w:r>
    </w:p>
    <w:p w14:paraId="4C4C0911" w14:textId="20451D6A" w:rsidR="00F371CE" w:rsidRPr="00C03C44" w:rsidRDefault="00D515FB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hAnsi="Gill Sans MT" w:cs="Times New Roman"/>
          <w:color w:val="000000" w:themeColor="text1"/>
          <w:sz w:val="24"/>
          <w:szCs w:val="24"/>
        </w:rPr>
        <w:t>Include r</w:t>
      </w:r>
      <w:r w:rsidR="00E77969" w:rsidRPr="00C03C44">
        <w:rPr>
          <w:rFonts w:ascii="Gill Sans MT" w:hAnsi="Gill Sans MT" w:cs="Times New Roman"/>
          <w:color w:val="000000" w:themeColor="text1"/>
          <w:sz w:val="24"/>
          <w:szCs w:val="24"/>
        </w:rPr>
        <w:t xml:space="preserve">isk </w:t>
      </w:r>
      <w:r w:rsidRPr="00C03C44">
        <w:rPr>
          <w:rFonts w:ascii="Gill Sans MT" w:hAnsi="Gill Sans MT" w:cs="Times New Roman"/>
          <w:color w:val="000000" w:themeColor="text1"/>
          <w:sz w:val="24"/>
          <w:szCs w:val="24"/>
        </w:rPr>
        <w:t>c</w:t>
      </w:r>
      <w:r w:rsidR="00E77969" w:rsidRPr="00C03C44">
        <w:rPr>
          <w:rFonts w:ascii="Gill Sans MT" w:hAnsi="Gill Sans MT" w:cs="Times New Roman"/>
          <w:color w:val="000000" w:themeColor="text1"/>
          <w:sz w:val="24"/>
          <w:szCs w:val="24"/>
        </w:rPr>
        <w:t>ommunication and/or community engagement outcome indicators in every new outbreak program design</w:t>
      </w:r>
      <w:r w:rsidR="0080764B" w:rsidRPr="00C03C44">
        <w:rPr>
          <w:rFonts w:ascii="Gill Sans MT" w:hAnsi="Gill Sans MT" w:cs="Times New Roman"/>
          <w:color w:val="000000" w:themeColor="text1"/>
          <w:sz w:val="24"/>
          <w:szCs w:val="24"/>
        </w:rPr>
        <w:t>,</w:t>
      </w:r>
      <w:r w:rsidR="00E77969" w:rsidRPr="00C03C44">
        <w:rPr>
          <w:rFonts w:ascii="Gill Sans MT" w:hAnsi="Gill Sans MT" w:cs="Times New Roman"/>
          <w:color w:val="000000" w:themeColor="text1"/>
          <w:sz w:val="24"/>
          <w:szCs w:val="24"/>
        </w:rPr>
        <w:t xml:space="preserve"> reflect</w:t>
      </w:r>
      <w:r w:rsidR="0080764B" w:rsidRPr="00C03C44">
        <w:rPr>
          <w:rFonts w:ascii="Gill Sans MT" w:hAnsi="Gill Sans MT" w:cs="Times New Roman"/>
          <w:color w:val="000000" w:themeColor="text1"/>
          <w:sz w:val="24"/>
          <w:szCs w:val="24"/>
        </w:rPr>
        <w:t>ed</w:t>
      </w:r>
      <w:r w:rsidR="00E77969" w:rsidRPr="00C03C44">
        <w:rPr>
          <w:rFonts w:ascii="Gill Sans MT" w:hAnsi="Gill Sans MT" w:cs="Times New Roman"/>
          <w:color w:val="000000" w:themeColor="text1"/>
          <w:sz w:val="24"/>
          <w:szCs w:val="24"/>
        </w:rPr>
        <w:t xml:space="preserve"> in </w:t>
      </w:r>
      <w:proofErr w:type="gramStart"/>
      <w:r w:rsidR="00E77969" w:rsidRPr="00C03C44">
        <w:rPr>
          <w:rFonts w:ascii="Gill Sans MT" w:hAnsi="Gill Sans MT" w:cs="Times New Roman"/>
          <w:color w:val="000000" w:themeColor="text1"/>
          <w:sz w:val="24"/>
          <w:szCs w:val="24"/>
        </w:rPr>
        <w:t>an  M</w:t>
      </w:r>
      <w:proofErr w:type="gramEnd"/>
      <w:r w:rsidR="00E77969" w:rsidRPr="00C03C44">
        <w:rPr>
          <w:rFonts w:ascii="Gill Sans MT" w:hAnsi="Gill Sans MT" w:cs="Times New Roman"/>
          <w:color w:val="000000" w:themeColor="text1"/>
          <w:sz w:val="24"/>
          <w:szCs w:val="24"/>
        </w:rPr>
        <w:t>&amp;E framework for current outbreak responses.</w:t>
      </w:r>
      <w:r w:rsidR="00F371C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F371CE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5E0F1E8" wp14:editId="71AD1F0E">
            <wp:extent cx="163830" cy="163830"/>
            <wp:effectExtent l="0" t="0" r="1270" b="1270"/>
            <wp:docPr id="70" name="Picture 7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1C049EE1" w14:textId="17BF33DC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98D4AC2" wp14:editId="5C79B2E4">
            <wp:extent cx="163830" cy="163830"/>
            <wp:effectExtent l="0" t="0" r="1270" b="1270"/>
            <wp:docPr id="71" name="Picture 7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784FDF13" w14:textId="46D4F3A1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3D0BA6E" wp14:editId="398CF37D">
            <wp:extent cx="163830" cy="163830"/>
            <wp:effectExtent l="0" t="0" r="1270" b="1270"/>
            <wp:docPr id="72" name="Picture 7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65ED2DAB" w14:textId="41DB4752" w:rsidR="00E50556" w:rsidRPr="00C03C44" w:rsidRDefault="00E50556" w:rsidP="00F371CE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106F533F" w14:textId="77777777" w:rsidR="00C03C44" w:rsidRPr="00C03C44" w:rsidRDefault="00C03C44" w:rsidP="00C03C44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10672699" w14:textId="46E72FB3" w:rsidR="00F371CE" w:rsidRPr="00C03C44" w:rsidRDefault="000E51A6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lastRenderedPageBreak/>
        <w:t>There is</w:t>
      </w:r>
      <w:r w:rsidR="008C76DB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a s</w:t>
      </w:r>
      <w:r w:rsidR="000E50F7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ystem in place to track if and how </w:t>
      </w:r>
      <w:r w:rsidR="004E7B6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risk communication and community engagement</w:t>
      </w:r>
      <w:r w:rsidR="00A5724A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</w:t>
      </w:r>
      <w:r w:rsidR="000E50F7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interventions are reaching</w:t>
      </w:r>
      <w:r w:rsidR="00F371C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the most</w:t>
      </w:r>
      <w:r w:rsidR="000E50F7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marginalized and vulnerable populations</w:t>
      </w: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.</w:t>
      </w:r>
      <w:r w:rsidR="00F371C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F371CE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FB4EA3A" wp14:editId="5A8AA975">
            <wp:extent cx="163830" cy="163830"/>
            <wp:effectExtent l="0" t="0" r="1270" b="1270"/>
            <wp:docPr id="73" name="Picture 7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60406D55" w14:textId="23BA70A4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1493C70C" wp14:editId="0447CD29">
            <wp:extent cx="163830" cy="163830"/>
            <wp:effectExtent l="0" t="0" r="1270" b="1270"/>
            <wp:docPr id="74" name="Picture 7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225E3FB6" w14:textId="0D420CD1" w:rsidR="000E50F7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1966167" wp14:editId="11239F83">
            <wp:extent cx="163830" cy="163830"/>
            <wp:effectExtent l="0" t="0" r="1270" b="1270"/>
            <wp:docPr id="75" name="Picture 7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14BEEB95" w14:textId="77777777" w:rsidR="000E50F7" w:rsidRPr="00C03C44" w:rsidRDefault="000E50F7" w:rsidP="000E50F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6BE665CC" w14:textId="5FCAD70F" w:rsidR="00F371CE" w:rsidRPr="00C03C44" w:rsidRDefault="000E51A6" w:rsidP="00BF7265">
      <w:pPr>
        <w:pStyle w:val="ListParagraph"/>
        <w:numPr>
          <w:ilvl w:val="0"/>
          <w:numId w:val="24"/>
        </w:numPr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There is</w:t>
      </w:r>
      <w:r w:rsidR="008C76DB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a</w:t>
      </w:r>
      <w:r w:rsidR="000E50F7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process to </w:t>
      </w:r>
      <w:r w:rsidR="004E7B60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analyze</w:t>
      </w:r>
      <w:r w:rsidR="000E50F7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data based on gender</w:t>
      </w:r>
      <w:r w:rsidR="009316E2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 xml:space="preserve"> a</w:t>
      </w:r>
      <w:r w:rsidR="000E50F7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nd re-examine programs based on gender to make changes</w:t>
      </w:r>
      <w:r w:rsidR="009316E2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t>.</w:t>
      </w:r>
      <w:r w:rsidR="00F371CE" w:rsidRPr="00C03C44">
        <w:rPr>
          <w:rFonts w:ascii="Gill Sans MT" w:eastAsia="Times New Roman" w:hAnsi="Gill Sans MT" w:cs="Times New Roman"/>
          <w:bCs/>
          <w:color w:val="000000" w:themeColor="text1"/>
          <w:sz w:val="24"/>
          <w:szCs w:val="24"/>
        </w:rPr>
        <w:br/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="00F371CE"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5F95F633" wp14:editId="1712E2BD">
            <wp:extent cx="163830" cy="163830"/>
            <wp:effectExtent l="0" t="0" r="1270" b="1270"/>
            <wp:docPr id="76" name="Picture 7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="00F371CE"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Completed</w:t>
      </w:r>
    </w:p>
    <w:p w14:paraId="00DC3F1F" w14:textId="6711EFE0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4A9128D4" wp14:editId="3DD82163">
            <wp:extent cx="163830" cy="163830"/>
            <wp:effectExtent l="0" t="0" r="1270" b="1270"/>
            <wp:docPr id="77" name="Picture 7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In Progress</w:t>
      </w:r>
    </w:p>
    <w:p w14:paraId="1C6E2D0E" w14:textId="15DC002D" w:rsidR="00F371CE" w:rsidRPr="00C03C44" w:rsidRDefault="00F371CE" w:rsidP="00080102">
      <w:pPr>
        <w:pStyle w:val="ListParagraph"/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begin"/>
      </w:r>
      <w:r w:rsid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separate"/>
      </w:r>
      <w:r w:rsidRPr="00C03C44">
        <w:rPr>
          <w:rFonts w:ascii="Gill Sans MT" w:eastAsia="Times New Roman" w:hAnsi="Gill Sans MT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27859AAC" wp14:editId="4B8B8BCE">
            <wp:extent cx="163830" cy="163830"/>
            <wp:effectExtent l="0" t="0" r="1270" b="1270"/>
            <wp:docPr id="78" name="Picture 7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fldChar w:fldCharType="end"/>
      </w:r>
      <w:r w:rsidRPr="00C03C44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  <w:t xml:space="preserve"> Not started</w:t>
      </w:r>
    </w:p>
    <w:p w14:paraId="691117BE" w14:textId="49C32CAE" w:rsidR="00643A3E" w:rsidRPr="00C03C44" w:rsidRDefault="00643A3E" w:rsidP="00F371CE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</w:rPr>
      </w:pPr>
    </w:p>
    <w:p w14:paraId="1CCB0F26" w14:textId="278B9C83" w:rsidR="000E50F7" w:rsidRPr="00C03C44" w:rsidRDefault="000E50F7" w:rsidP="00643A3E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  <w:sz w:val="24"/>
          <w:szCs w:val="24"/>
        </w:rPr>
      </w:pPr>
    </w:p>
    <w:sectPr w:rsidR="000E50F7" w:rsidRPr="00C03C44" w:rsidSect="003117D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D24A" w14:textId="77777777" w:rsidR="003959F0" w:rsidRDefault="003959F0">
      <w:pPr>
        <w:spacing w:after="0" w:line="240" w:lineRule="auto"/>
      </w:pPr>
      <w:r>
        <w:separator/>
      </w:r>
    </w:p>
  </w:endnote>
  <w:endnote w:type="continuationSeparator" w:id="0">
    <w:p w14:paraId="089E8B41" w14:textId="77777777" w:rsidR="003959F0" w:rsidRDefault="003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4636" w14:textId="77777777" w:rsidR="003117DB" w:rsidRPr="003117DB" w:rsidRDefault="003117DB" w:rsidP="003117DB">
    <w:pPr>
      <w:pStyle w:val="paragraph"/>
      <w:spacing w:before="0" w:beforeAutospacing="0" w:after="0" w:afterAutospacing="0"/>
      <w:jc w:val="center"/>
      <w:textAlignment w:val="baseline"/>
      <w:rPr>
        <w:rFonts w:ascii="Gill Sans MT" w:hAnsi="Gill Sans MT"/>
        <w:b/>
        <w:bCs/>
        <w:color w:val="C00000"/>
        <w:szCs w:val="32"/>
      </w:rPr>
    </w:pPr>
    <w:r w:rsidRPr="003117DB">
      <w:rPr>
        <w:rFonts w:ascii="Gill Sans MT" w:hAnsi="Gill Sans MT"/>
        <w:b/>
        <w:bCs/>
        <w:color w:val="C00000"/>
        <w:szCs w:val="32"/>
      </w:rPr>
      <w:t xml:space="preserve">Social Behavior Change/Community Engagement and </w:t>
    </w:r>
  </w:p>
  <w:p w14:paraId="00B14C8B" w14:textId="4600FB37" w:rsidR="003117DB" w:rsidRPr="003117DB" w:rsidRDefault="003117DB" w:rsidP="003117DB">
    <w:pPr>
      <w:pStyle w:val="paragraph"/>
      <w:spacing w:before="0" w:beforeAutospacing="0" w:after="0" w:afterAutospacing="0"/>
      <w:jc w:val="center"/>
      <w:textAlignment w:val="baseline"/>
      <w:rPr>
        <w:rFonts w:ascii="Gill Sans MT" w:hAnsi="Gill Sans MT"/>
        <w:b/>
        <w:bCs/>
        <w:color w:val="C00000"/>
        <w:szCs w:val="32"/>
      </w:rPr>
    </w:pPr>
    <w:r w:rsidRPr="003117DB">
      <w:rPr>
        <w:rFonts w:ascii="Gill Sans MT" w:hAnsi="Gill Sans MT"/>
        <w:b/>
        <w:bCs/>
        <w:color w:val="C00000"/>
        <w:szCs w:val="32"/>
      </w:rPr>
      <w:t>Risk Communication Operational Checklist in Outbreaks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5EBC" w14:textId="77777777" w:rsidR="003959F0" w:rsidRDefault="003959F0">
      <w:pPr>
        <w:spacing w:after="0" w:line="240" w:lineRule="auto"/>
      </w:pPr>
      <w:r>
        <w:separator/>
      </w:r>
    </w:p>
  </w:footnote>
  <w:footnote w:type="continuationSeparator" w:id="0">
    <w:p w14:paraId="4879B54F" w14:textId="77777777" w:rsidR="003959F0" w:rsidRDefault="0039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B192" w14:textId="77777777" w:rsidR="007833A8" w:rsidRPr="00C03C44" w:rsidRDefault="00A52FEE" w:rsidP="007833A8">
    <w:pPr>
      <w:rPr>
        <w:color w:val="646C63"/>
        <w:sz w:val="24"/>
        <w:szCs w:val="24"/>
      </w:rPr>
    </w:pPr>
    <w:r w:rsidRPr="00C03C44">
      <w:rPr>
        <w:rStyle w:val="normaltextrun"/>
        <w:rFonts w:ascii="Gill Sans MT" w:hAnsi="Gill Sans MT"/>
        <w:b/>
        <w:bCs/>
        <w:caps/>
        <w:color w:val="BA0C2F"/>
        <w:sz w:val="24"/>
        <w:szCs w:val="24"/>
      </w:rPr>
      <w:t>READY</w:t>
    </w:r>
    <w:r w:rsidRPr="00C03C44">
      <w:rPr>
        <w:rStyle w:val="normaltextrun"/>
        <w:rFonts w:ascii="Gill Sans MT" w:hAnsi="Gill Sans MT"/>
        <w:b/>
        <w:bCs/>
        <w:caps/>
        <w:color w:val="646C63"/>
        <w:sz w:val="24"/>
        <w:szCs w:val="24"/>
      </w:rPr>
      <w:t>: Global readiness for major disease outbreak RESPONSE</w:t>
    </w:r>
  </w:p>
  <w:p w14:paraId="22EDF5AC" w14:textId="77777777" w:rsidR="007833A8" w:rsidRDefault="003117DB" w:rsidP="007833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7D5E" w14:textId="77777777" w:rsidR="003117DB" w:rsidRPr="00C03C44" w:rsidRDefault="003117DB" w:rsidP="003117DB">
    <w:pPr>
      <w:rPr>
        <w:color w:val="646C63"/>
        <w:sz w:val="24"/>
        <w:szCs w:val="24"/>
      </w:rPr>
    </w:pPr>
    <w:r w:rsidRPr="00C03C44">
      <w:rPr>
        <w:rStyle w:val="normaltextrun"/>
        <w:rFonts w:ascii="Gill Sans MT" w:hAnsi="Gill Sans MT"/>
        <w:b/>
        <w:bCs/>
        <w:caps/>
        <w:color w:val="BA0C2F"/>
        <w:sz w:val="24"/>
        <w:szCs w:val="24"/>
      </w:rPr>
      <w:t>READY</w:t>
    </w:r>
    <w:r w:rsidRPr="00C03C44">
      <w:rPr>
        <w:rStyle w:val="normaltextrun"/>
        <w:rFonts w:ascii="Gill Sans MT" w:hAnsi="Gill Sans MT"/>
        <w:b/>
        <w:bCs/>
        <w:caps/>
        <w:color w:val="646C63"/>
        <w:sz w:val="24"/>
        <w:szCs w:val="24"/>
      </w:rPr>
      <w:t>: Global readiness for major disease outbreak RESPONSE</w:t>
    </w:r>
  </w:p>
  <w:p w14:paraId="155EB1C3" w14:textId="77777777" w:rsidR="003117DB" w:rsidRDefault="0031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7CB"/>
    <w:multiLevelType w:val="hybridMultilevel"/>
    <w:tmpl w:val="F7BC8E6E"/>
    <w:lvl w:ilvl="0" w:tplc="CCC4351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74E"/>
    <w:multiLevelType w:val="hybridMultilevel"/>
    <w:tmpl w:val="6EA2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123"/>
    <w:multiLevelType w:val="hybridMultilevel"/>
    <w:tmpl w:val="ED7E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B76"/>
    <w:multiLevelType w:val="hybridMultilevel"/>
    <w:tmpl w:val="132CD680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104B"/>
    <w:multiLevelType w:val="hybridMultilevel"/>
    <w:tmpl w:val="9B0A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636406C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3B82"/>
    <w:multiLevelType w:val="hybridMultilevel"/>
    <w:tmpl w:val="6396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6629"/>
    <w:multiLevelType w:val="hybridMultilevel"/>
    <w:tmpl w:val="1FC8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467F"/>
    <w:multiLevelType w:val="hybridMultilevel"/>
    <w:tmpl w:val="0E1804F2"/>
    <w:lvl w:ilvl="0" w:tplc="4A8895E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66C"/>
    <w:multiLevelType w:val="hybridMultilevel"/>
    <w:tmpl w:val="44E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E6D"/>
    <w:multiLevelType w:val="hybridMultilevel"/>
    <w:tmpl w:val="1D48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2664"/>
    <w:multiLevelType w:val="hybridMultilevel"/>
    <w:tmpl w:val="0C5E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2F32"/>
    <w:multiLevelType w:val="hybridMultilevel"/>
    <w:tmpl w:val="B24ECA26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D14C3"/>
    <w:multiLevelType w:val="hybridMultilevel"/>
    <w:tmpl w:val="7004DE88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5A3A"/>
    <w:multiLevelType w:val="hybridMultilevel"/>
    <w:tmpl w:val="436C1074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D3D77"/>
    <w:multiLevelType w:val="hybridMultilevel"/>
    <w:tmpl w:val="7FB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B0A15"/>
    <w:multiLevelType w:val="hybridMultilevel"/>
    <w:tmpl w:val="359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4FE9"/>
    <w:multiLevelType w:val="hybridMultilevel"/>
    <w:tmpl w:val="BB3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5E49"/>
    <w:multiLevelType w:val="hybridMultilevel"/>
    <w:tmpl w:val="A134F4B8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B35"/>
    <w:multiLevelType w:val="hybridMultilevel"/>
    <w:tmpl w:val="898ADB9E"/>
    <w:lvl w:ilvl="0" w:tplc="CCC4351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1602"/>
    <w:multiLevelType w:val="hybridMultilevel"/>
    <w:tmpl w:val="F1E23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67605B"/>
    <w:multiLevelType w:val="hybridMultilevel"/>
    <w:tmpl w:val="ABE0653A"/>
    <w:lvl w:ilvl="0" w:tplc="8F60E8BC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BF103E"/>
    <w:multiLevelType w:val="hybridMultilevel"/>
    <w:tmpl w:val="C00C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D7449"/>
    <w:multiLevelType w:val="hybridMultilevel"/>
    <w:tmpl w:val="DA1E49D2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B02"/>
    <w:multiLevelType w:val="hybridMultilevel"/>
    <w:tmpl w:val="F2A4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90E8C"/>
    <w:multiLevelType w:val="hybridMultilevel"/>
    <w:tmpl w:val="A5040372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DDD"/>
    <w:multiLevelType w:val="hybridMultilevel"/>
    <w:tmpl w:val="11DEC960"/>
    <w:lvl w:ilvl="0" w:tplc="4A8895E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7717"/>
    <w:multiLevelType w:val="hybridMultilevel"/>
    <w:tmpl w:val="E288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DA0CE2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21D1B"/>
    <w:multiLevelType w:val="hybridMultilevel"/>
    <w:tmpl w:val="7F1CFE06"/>
    <w:lvl w:ilvl="0" w:tplc="DDA0CE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8"/>
  </w:num>
  <w:num w:numId="10">
    <w:abstractNumId w:val="2"/>
  </w:num>
  <w:num w:numId="11">
    <w:abstractNumId w:val="18"/>
  </w:num>
  <w:num w:numId="12">
    <w:abstractNumId w:val="23"/>
  </w:num>
  <w:num w:numId="13">
    <w:abstractNumId w:val="25"/>
  </w:num>
  <w:num w:numId="14">
    <w:abstractNumId w:val="26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24"/>
  </w:num>
  <w:num w:numId="23">
    <w:abstractNumId w:val="12"/>
  </w:num>
  <w:num w:numId="24">
    <w:abstractNumId w:val="19"/>
  </w:num>
  <w:num w:numId="25">
    <w:abstractNumId w:val="3"/>
  </w:num>
  <w:num w:numId="26">
    <w:abstractNumId w:val="13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9E"/>
    <w:rsid w:val="00010A3F"/>
    <w:rsid w:val="00011E28"/>
    <w:rsid w:val="000314F7"/>
    <w:rsid w:val="000429BA"/>
    <w:rsid w:val="00080102"/>
    <w:rsid w:val="000A229B"/>
    <w:rsid w:val="000C08D6"/>
    <w:rsid w:val="000E50F7"/>
    <w:rsid w:val="000E51A6"/>
    <w:rsid w:val="00115363"/>
    <w:rsid w:val="00123661"/>
    <w:rsid w:val="001505A2"/>
    <w:rsid w:val="001506CB"/>
    <w:rsid w:val="00151C9D"/>
    <w:rsid w:val="0016695F"/>
    <w:rsid w:val="00181856"/>
    <w:rsid w:val="00191F90"/>
    <w:rsid w:val="001921AB"/>
    <w:rsid w:val="001E23D6"/>
    <w:rsid w:val="0022451C"/>
    <w:rsid w:val="0025069F"/>
    <w:rsid w:val="0025180A"/>
    <w:rsid w:val="00281590"/>
    <w:rsid w:val="00294357"/>
    <w:rsid w:val="00295832"/>
    <w:rsid w:val="003117DB"/>
    <w:rsid w:val="0032759D"/>
    <w:rsid w:val="0034756B"/>
    <w:rsid w:val="00354D80"/>
    <w:rsid w:val="0036072D"/>
    <w:rsid w:val="00360C14"/>
    <w:rsid w:val="003959F0"/>
    <w:rsid w:val="003A04C6"/>
    <w:rsid w:val="003B2BDB"/>
    <w:rsid w:val="003D6CF5"/>
    <w:rsid w:val="003F6DFF"/>
    <w:rsid w:val="00406B3A"/>
    <w:rsid w:val="00407D8A"/>
    <w:rsid w:val="00415160"/>
    <w:rsid w:val="00455F13"/>
    <w:rsid w:val="00473461"/>
    <w:rsid w:val="0047526F"/>
    <w:rsid w:val="00486E3F"/>
    <w:rsid w:val="004E7B60"/>
    <w:rsid w:val="004F34B6"/>
    <w:rsid w:val="0053475C"/>
    <w:rsid w:val="00551E6A"/>
    <w:rsid w:val="0057454C"/>
    <w:rsid w:val="005C4EE4"/>
    <w:rsid w:val="005E0AAB"/>
    <w:rsid w:val="005F0976"/>
    <w:rsid w:val="00632E5E"/>
    <w:rsid w:val="00635C63"/>
    <w:rsid w:val="00643A3E"/>
    <w:rsid w:val="00656369"/>
    <w:rsid w:val="006D7361"/>
    <w:rsid w:val="006F7C19"/>
    <w:rsid w:val="007150F4"/>
    <w:rsid w:val="007269AD"/>
    <w:rsid w:val="007321B3"/>
    <w:rsid w:val="00745A80"/>
    <w:rsid w:val="00747ECA"/>
    <w:rsid w:val="00771608"/>
    <w:rsid w:val="00794B01"/>
    <w:rsid w:val="00796450"/>
    <w:rsid w:val="007A73C6"/>
    <w:rsid w:val="007B06D0"/>
    <w:rsid w:val="007C146A"/>
    <w:rsid w:val="0080764B"/>
    <w:rsid w:val="0081200B"/>
    <w:rsid w:val="00813EB3"/>
    <w:rsid w:val="00867442"/>
    <w:rsid w:val="008843D8"/>
    <w:rsid w:val="008B479E"/>
    <w:rsid w:val="008C4560"/>
    <w:rsid w:val="008C76DB"/>
    <w:rsid w:val="008F2734"/>
    <w:rsid w:val="009316E2"/>
    <w:rsid w:val="0093349A"/>
    <w:rsid w:val="00935A28"/>
    <w:rsid w:val="009573D2"/>
    <w:rsid w:val="00980BEE"/>
    <w:rsid w:val="009D63CD"/>
    <w:rsid w:val="009E3B4F"/>
    <w:rsid w:val="009E6C44"/>
    <w:rsid w:val="00A521FF"/>
    <w:rsid w:val="00A52FEE"/>
    <w:rsid w:val="00A5674A"/>
    <w:rsid w:val="00A5724A"/>
    <w:rsid w:val="00AA3123"/>
    <w:rsid w:val="00AC1407"/>
    <w:rsid w:val="00AD3C93"/>
    <w:rsid w:val="00AF0587"/>
    <w:rsid w:val="00B5118E"/>
    <w:rsid w:val="00B62890"/>
    <w:rsid w:val="00B826E9"/>
    <w:rsid w:val="00B82B05"/>
    <w:rsid w:val="00B930AA"/>
    <w:rsid w:val="00BD2640"/>
    <w:rsid w:val="00BE11D2"/>
    <w:rsid w:val="00BE156B"/>
    <w:rsid w:val="00BF7265"/>
    <w:rsid w:val="00C03C44"/>
    <w:rsid w:val="00C24772"/>
    <w:rsid w:val="00C53B1D"/>
    <w:rsid w:val="00C56362"/>
    <w:rsid w:val="00C74137"/>
    <w:rsid w:val="00C86804"/>
    <w:rsid w:val="00CB03F7"/>
    <w:rsid w:val="00CB67D4"/>
    <w:rsid w:val="00CD4819"/>
    <w:rsid w:val="00D05C8A"/>
    <w:rsid w:val="00D246CE"/>
    <w:rsid w:val="00D515FB"/>
    <w:rsid w:val="00DF6865"/>
    <w:rsid w:val="00E06265"/>
    <w:rsid w:val="00E15E94"/>
    <w:rsid w:val="00E50556"/>
    <w:rsid w:val="00E54339"/>
    <w:rsid w:val="00E77969"/>
    <w:rsid w:val="00EA22BF"/>
    <w:rsid w:val="00EB525B"/>
    <w:rsid w:val="00EE53CE"/>
    <w:rsid w:val="00EF5775"/>
    <w:rsid w:val="00F225E2"/>
    <w:rsid w:val="00F371CE"/>
    <w:rsid w:val="00F56172"/>
    <w:rsid w:val="00F75FBA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DD558"/>
  <w15:chartTrackingRefBased/>
  <w15:docId w15:val="{6CC5CB8B-D1BB-6D49-91F6-442DE27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9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YHeading3">
    <w:name w:val="READY_Heading 3"/>
    <w:basedOn w:val="Heading3"/>
    <w:autoRedefine/>
    <w:qFormat/>
    <w:rsid w:val="00656369"/>
    <w:rPr>
      <w:rFonts w:asciiTheme="minorHAnsi" w:hAnsiTheme="minorHAnsi"/>
      <w:i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36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READYHeading2">
    <w:name w:val="READY_Heading 2"/>
    <w:basedOn w:val="Heading2"/>
    <w:autoRedefine/>
    <w:qFormat/>
    <w:rsid w:val="00656369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8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479E"/>
  </w:style>
  <w:style w:type="character" w:customStyle="1" w:styleId="eop">
    <w:name w:val="eop"/>
    <w:basedOn w:val="DefaultParagraphFont"/>
    <w:rsid w:val="008B479E"/>
  </w:style>
  <w:style w:type="paragraph" w:styleId="ListParagraph">
    <w:name w:val="List Paragraph"/>
    <w:basedOn w:val="Normal"/>
    <w:uiPriority w:val="34"/>
    <w:qFormat/>
    <w:rsid w:val="008B4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1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D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2"/>
    <w:rPr>
      <w:sz w:val="22"/>
      <w:szCs w:val="22"/>
    </w:rPr>
  </w:style>
  <w:style w:type="table" w:styleId="TableGrid">
    <w:name w:val="Table Grid"/>
    <w:basedOn w:val="TableNormal"/>
    <w:uiPriority w:val="39"/>
    <w:rsid w:val="00CB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E34E8E82694DA369619592B64037" ma:contentTypeVersion="11" ma:contentTypeDescription="Create a new document." ma:contentTypeScope="" ma:versionID="c467cb8769aa4f325cb5615247d51bc2">
  <xsd:schema xmlns:xsd="http://www.w3.org/2001/XMLSchema" xmlns:xs="http://www.w3.org/2001/XMLSchema" xmlns:p="http://schemas.microsoft.com/office/2006/metadata/properties" xmlns:ns2="2f48e1d0-7cb8-41d9-828b-ed81fdeb0972" xmlns:ns3="5e5cfa32-f11a-48b5-b101-6ccd0d9d11b7" targetNamespace="http://schemas.microsoft.com/office/2006/metadata/properties" ma:root="true" ma:fieldsID="8741369355df55a8c9a24cd0e6675abb" ns2:_="" ns3:_="">
    <xsd:import namespace="2f48e1d0-7cb8-41d9-828b-ed81fdeb0972"/>
    <xsd:import namespace="5e5cfa32-f11a-48b5-b101-6ccd0d9d11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e1d0-7cb8-41d9-828b-ed81fdeb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fa32-f11a-48b5-b101-6ccd0d9d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40E62-CEB9-43C7-BEA9-997764878865}">
  <ds:schemaRefs>
    <ds:schemaRef ds:uri="http://purl.org/dc/dcmitype/"/>
    <ds:schemaRef ds:uri="http://schemas.microsoft.com/office/2006/metadata/properties"/>
    <ds:schemaRef ds:uri="cc81a1ba-eb06-49ac-a141-7dcee478c83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7dcadc-e064-45c9-b61f-009b4258b67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452510-AF0F-47E6-9839-F48A5F52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4ECB8-0B49-4C46-AABB-FEDAA1048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Bertram</dc:creator>
  <cp:keywords/>
  <dc:description/>
  <cp:lastModifiedBy>Toney, Ryan</cp:lastModifiedBy>
  <cp:revision>3</cp:revision>
  <dcterms:created xsi:type="dcterms:W3CDTF">2020-07-06T19:59:00Z</dcterms:created>
  <dcterms:modified xsi:type="dcterms:W3CDTF">2020-07-06T20:12:00Z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0x010100E95BE34E8E82694DA369619592B64037</vt:lpwstr>
  </property>
</Properties>
</file>